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DF" w:rsidRPr="00F7484E" w:rsidRDefault="00F2432B">
      <w:pPr>
        <w:rPr>
          <w:sz w:val="24"/>
        </w:rPr>
      </w:pPr>
      <w:r w:rsidRPr="00F7484E">
        <w:rPr>
          <w:rFonts w:hint="eastAsia"/>
          <w:sz w:val="24"/>
        </w:rPr>
        <w:t>附件</w:t>
      </w:r>
      <w:r w:rsidR="00F7484E">
        <w:rPr>
          <w:rFonts w:hint="eastAsia"/>
          <w:sz w:val="24"/>
        </w:rPr>
        <w:t>：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一、采购需求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Chars="200" w:firstLine="480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基于上海电机学院现有网站群系统，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对学校二级部门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进行统一建设，使网站管理维护高效、规范。</w:t>
      </w:r>
    </w:p>
    <w:tbl>
      <w:tblPr>
        <w:tblW w:w="88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752"/>
        <w:gridCol w:w="567"/>
        <w:gridCol w:w="6964"/>
      </w:tblGrid>
      <w:tr w:rsidR="00364CDF">
        <w:trPr>
          <w:trHeight w:val="2967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F2432B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F243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页面设计要求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364CD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F2432B">
            <w:pPr>
              <w:pStyle w:val="-11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界面外观的设计应体现国际化，符合当下高校部门网站的国际主流设计思路，融入</w:t>
            </w:r>
            <w:r>
              <w:rPr>
                <w:rFonts w:hint="eastAsia"/>
                <w:sz w:val="24"/>
                <w:szCs w:val="24"/>
              </w:rPr>
              <w:t>上海电机学院</w:t>
            </w:r>
            <w:r>
              <w:rPr>
                <w:sz w:val="24"/>
                <w:szCs w:val="24"/>
              </w:rPr>
              <w:t>的</w:t>
            </w: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系统。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网站的栏目架构与布局设计，应以用户需求为建设的出发点和落脚点，对网站现有的信息进行重新整合分类，方便其方便快捷的获取所需信息。</w:t>
            </w:r>
          </w:p>
        </w:tc>
      </w:tr>
      <w:tr w:rsidR="00364CDF">
        <w:trPr>
          <w:trHeight w:val="3397"/>
        </w:trPr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F243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F2432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技术要求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64CDF" w:rsidRDefault="00364CD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</w:t>
            </w:r>
            <w:r>
              <w:rPr>
                <w:sz w:val="24"/>
                <w:szCs w:val="24"/>
              </w:rPr>
              <w:t>B/S</w:t>
            </w:r>
            <w:r>
              <w:rPr>
                <w:rFonts w:hint="eastAsia"/>
                <w:sz w:val="24"/>
                <w:szCs w:val="24"/>
              </w:rPr>
              <w:t>的体系结构，网站的后台管理和发布浏览均基于浏览器。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系统（站群）后台和各个网站管理后台实现单点登录，有权限的用户登陆一次，可在系统后台和各个网站后台自由切换，方便统一管理。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采用</w:t>
            </w:r>
            <w:r>
              <w:rPr>
                <w:sz w:val="24"/>
                <w:szCs w:val="24"/>
              </w:rPr>
              <w:t>Java</w:t>
            </w:r>
            <w:r>
              <w:rPr>
                <w:rFonts w:hint="eastAsia"/>
                <w:sz w:val="24"/>
                <w:szCs w:val="24"/>
              </w:rPr>
              <w:t>技术开发，具有通用性和移植性，支持</w:t>
            </w:r>
            <w:r>
              <w:rPr>
                <w:sz w:val="24"/>
                <w:szCs w:val="24"/>
              </w:rPr>
              <w:t>Windows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Linux</w:t>
            </w:r>
            <w:r>
              <w:rPr>
                <w:rFonts w:hint="eastAsia"/>
                <w:sz w:val="24"/>
                <w:szCs w:val="24"/>
              </w:rPr>
              <w:t>等主流操作系统，支持</w:t>
            </w:r>
            <w:r>
              <w:rPr>
                <w:sz w:val="24"/>
                <w:szCs w:val="24"/>
              </w:rPr>
              <w:t>Oracle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My SQL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SQL Server</w:t>
            </w:r>
            <w:r>
              <w:rPr>
                <w:rFonts w:hint="eastAsia"/>
                <w:sz w:val="24"/>
                <w:szCs w:val="24"/>
              </w:rPr>
              <w:t>等主流数据库，支持</w:t>
            </w:r>
            <w:r>
              <w:rPr>
                <w:sz w:val="24"/>
                <w:szCs w:val="24"/>
              </w:rPr>
              <w:t>Websphere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Weblogic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Tomcat</w:t>
            </w:r>
            <w:r>
              <w:rPr>
                <w:rFonts w:hint="eastAsia"/>
                <w:sz w:val="24"/>
                <w:szCs w:val="24"/>
              </w:rPr>
              <w:t>等中间件。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保证客户端使用不同浏览器时，网站页面的最终显示效果与在本系统可视化编辑状态保持一致。至少支持</w:t>
            </w:r>
            <w:r>
              <w:rPr>
                <w:sz w:val="24"/>
                <w:szCs w:val="24"/>
              </w:rPr>
              <w:t>IE6</w:t>
            </w:r>
            <w:r>
              <w:rPr>
                <w:rFonts w:hint="eastAsia"/>
                <w:sz w:val="24"/>
                <w:szCs w:val="24"/>
              </w:rPr>
              <w:t>以上版本</w:t>
            </w:r>
            <w:r>
              <w:rPr>
                <w:sz w:val="24"/>
                <w:szCs w:val="24"/>
              </w:rPr>
              <w:t>IE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Firefox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chrome</w:t>
            </w:r>
            <w:r>
              <w:rPr>
                <w:rFonts w:hint="eastAsia"/>
                <w:sz w:val="24"/>
                <w:szCs w:val="24"/>
              </w:rPr>
              <w:t>等主流浏览器。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应用功能组件采用插拔式管理，可根据需要灵活扩展或取舍（在高校应用中成功扩展过具有高校特征的应用系统组件）。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采用模板与信息分离的技术，栏目与模板构建了站点的展示结构，后台栏目内容可任意组合在前台页面显示。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具备静态页面生成功能，支持动静结合的部署方式，动、静态可分开部署，当动态服务器出现故障时，静态发布页面可正常访问。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实现所有站点静态页面同时发布到一台或多台服务器上，或不同站点的静态页面发布到不同的服务器上。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静态页面自动生成，对站点模板、栏</w:t>
            </w:r>
            <w:r>
              <w:rPr>
                <w:rFonts w:hint="eastAsia"/>
                <w:sz w:val="24"/>
                <w:szCs w:val="24"/>
              </w:rPr>
              <w:t>目或文章做修改后，静态页面能自动增量更新，无需手工触发。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具有高度安全性和稳定性，防止非授权用户的非法侵入、攻击，避免操作人员的越级操作，具备网页防篡改（无需采购第三方防篡改软件）、防注入式攻击、脚本过滤、防口令猜测、</w:t>
            </w:r>
            <w:r>
              <w:rPr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>地址访问控制等安全措施；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小时的连续运行，平均年故障时间小于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天，平均故障修复时间小于</w:t>
            </w:r>
            <w:r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分钟。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具备容灾备份能力，根据学校网站的特点，能够记录系统访问日志及操作日志，备份和恢复系统数据，保证系统安全稳定运行。</w:t>
            </w:r>
          </w:p>
          <w:p w:rsidR="00364CDF" w:rsidRDefault="00F2432B">
            <w:pPr>
              <w:pStyle w:val="-11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具备良好的应用集成扩展能力，提供标准的数据接口，支持二次开发，能实现与其他应用系统的数据交换；支持与数字化校园相关身份认证平台的集成，满足学校将来数字化校园项目建设的规划。</w:t>
            </w:r>
          </w:p>
          <w:p w:rsidR="00364CDF" w:rsidRDefault="00364CDF">
            <w:pPr>
              <w:pStyle w:val="-11"/>
              <w:widowControl/>
              <w:overflowPunct w:val="0"/>
              <w:autoSpaceDE w:val="0"/>
              <w:autoSpaceDN w:val="0"/>
              <w:adjustRightInd w:val="0"/>
              <w:spacing w:line="360" w:lineRule="auto"/>
              <w:ind w:firstLineChars="0" w:firstLine="0"/>
              <w:jc w:val="left"/>
              <w:textAlignment w:val="baseline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以上要求是满足项目的最低要求，如有遗漏，投标方应予以补充，否则一旦中标将认为投标方认同遗漏部分并免费提供服务。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  <w:lang w:bidi="ar"/>
        </w:rPr>
        <w:t>二、对响应单位的资格要求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、符合《中华人民共和国政府采购法》第二十二条规定的投标人资格条件。</w:t>
      </w:r>
    </w:p>
    <w:p w:rsidR="00052B73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  <w:lang w:bidi="ar"/>
        </w:rPr>
      </w:pP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2</w:t>
      </w:r>
      <w:r w:rsidR="00456D1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、投标人须持有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网站群系统</w:t>
      </w:r>
      <w:r w:rsidR="00456D1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著作权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，不接受代理商名义参与投标。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  <w:lang w:bidi="ar"/>
        </w:rPr>
      </w:pP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lastRenderedPageBreak/>
        <w:t>3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、需通过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ISO9001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质量体系认证或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ISO27001</w:t>
      </w:r>
      <w:r w:rsidRPr="00052B73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信息安全体系认证。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Chars="200" w:firstLine="482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52B73"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  <w:lang w:bidi="ar"/>
        </w:rPr>
        <w:t>三、质量保证措施及期限要求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、质量保修：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成交供应商对所提供的软件提供自用户验收之日起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年免费维护、应用软件升级、故障处理等保修服务。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2</w:t>
      </w:r>
      <w:r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  <w:t>、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保修期内，提供</w:t>
      </w:r>
      <w:r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  <w:t>7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×</w:t>
      </w:r>
      <w:r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  <w:t>24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小时的连续运行，平均年故障时间小于</w:t>
      </w:r>
      <w:r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天，平均故障修复时间小于</w:t>
      </w:r>
      <w:r>
        <w:rPr>
          <w:rFonts w:ascii="宋体" w:eastAsia="宋体" w:hAnsi="宋体" w:cs="宋体"/>
          <w:bCs/>
          <w:color w:val="333333"/>
          <w:kern w:val="0"/>
          <w:sz w:val="24"/>
          <w:szCs w:val="21"/>
          <w:shd w:val="clear" w:color="auto" w:fill="FFFFFF"/>
          <w:lang w:bidi="ar"/>
        </w:rPr>
        <w:t>60</w:t>
      </w:r>
      <w:r>
        <w:rPr>
          <w:rFonts w:ascii="宋体" w:eastAsia="宋体" w:hAnsi="宋体" w:cs="宋体" w:hint="eastAsia"/>
          <w:bCs/>
          <w:color w:val="333333"/>
          <w:kern w:val="0"/>
          <w:sz w:val="24"/>
          <w:szCs w:val="21"/>
          <w:shd w:val="clear" w:color="auto" w:fill="FFFFFF"/>
          <w:lang w:bidi="ar"/>
        </w:rPr>
        <w:t>分钟。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52B73"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  <w:lang w:bidi="ar"/>
        </w:rPr>
        <w:t>四、交货期要求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合同签订后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个月内交付使用，并通过验收。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  <w:lang w:bidi="ar"/>
        </w:rPr>
        <w:t>五、报价文件组成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报价文件需包含：报价一览表；商务及技术要求偏离表；报价单位简介；营业执照等资质文件；依法缴纳社保、税收及近三年经营活动中无违法犯罪行为声明；法定代表人授权及被授权人身份证明；报价产品说明；售后服务方案及承诺；联系人、联系电话、电子邮箱等信息。</w:t>
      </w:r>
    </w:p>
    <w:p w:rsidR="00364CDF" w:rsidRDefault="00F2432B">
      <w:pPr>
        <w:widowControl/>
        <w:shd w:val="clear" w:color="auto" w:fill="FFFFFF"/>
        <w:spacing w:before="100" w:beforeAutospacing="1" w:after="90"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报价文件要求一式三份，装订成册加盖公章后密封。电子投标文件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份（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U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  <w:lang w:bidi="ar"/>
        </w:rPr>
        <w:t>盘或光盘格式）。</w:t>
      </w:r>
    </w:p>
    <w:p w:rsidR="00364CDF" w:rsidRDefault="00364CDF"/>
    <w:p w:rsidR="00364CDF" w:rsidRDefault="00364CDF"/>
    <w:sectPr w:rsidR="00364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2B" w:rsidRDefault="00F2432B" w:rsidP="000013B2">
      <w:r>
        <w:separator/>
      </w:r>
    </w:p>
  </w:endnote>
  <w:endnote w:type="continuationSeparator" w:id="0">
    <w:p w:rsidR="00F2432B" w:rsidRDefault="00F2432B" w:rsidP="0000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2B" w:rsidRDefault="00F2432B" w:rsidP="000013B2">
      <w:r>
        <w:separator/>
      </w:r>
    </w:p>
  </w:footnote>
  <w:footnote w:type="continuationSeparator" w:id="0">
    <w:p w:rsidR="00F2432B" w:rsidRDefault="00F2432B" w:rsidP="0000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B1A46"/>
    <w:multiLevelType w:val="multilevel"/>
    <w:tmpl w:val="4D8B1A46"/>
    <w:lvl w:ilvl="0">
      <w:start w:val="1"/>
      <w:numFmt w:val="decimal"/>
      <w:lvlText w:val="%1)"/>
      <w:lvlJc w:val="left"/>
      <w:pPr>
        <w:ind w:left="420" w:hanging="420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CC1351"/>
    <w:multiLevelType w:val="multilevel"/>
    <w:tmpl w:val="65CC135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387683"/>
    <w:multiLevelType w:val="multilevel"/>
    <w:tmpl w:val="68387683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7"/>
    <w:rsid w:val="000013B2"/>
    <w:rsid w:val="00052B73"/>
    <w:rsid w:val="00091E42"/>
    <w:rsid w:val="000A6542"/>
    <w:rsid w:val="000B0A60"/>
    <w:rsid w:val="000B6C45"/>
    <w:rsid w:val="001052EC"/>
    <w:rsid w:val="002A77E8"/>
    <w:rsid w:val="00336AFD"/>
    <w:rsid w:val="003542CA"/>
    <w:rsid w:val="00364CDF"/>
    <w:rsid w:val="003A222C"/>
    <w:rsid w:val="003C4571"/>
    <w:rsid w:val="003F53CE"/>
    <w:rsid w:val="00400E4A"/>
    <w:rsid w:val="00456D10"/>
    <w:rsid w:val="004B435B"/>
    <w:rsid w:val="004D1FFD"/>
    <w:rsid w:val="005420BE"/>
    <w:rsid w:val="006442FE"/>
    <w:rsid w:val="006834AA"/>
    <w:rsid w:val="007546BA"/>
    <w:rsid w:val="0085701D"/>
    <w:rsid w:val="00916B51"/>
    <w:rsid w:val="009420D5"/>
    <w:rsid w:val="009F5BB7"/>
    <w:rsid w:val="00A05F65"/>
    <w:rsid w:val="00A62F34"/>
    <w:rsid w:val="00B226A4"/>
    <w:rsid w:val="00B92B2D"/>
    <w:rsid w:val="00BC7AB9"/>
    <w:rsid w:val="00BF2BAF"/>
    <w:rsid w:val="00C1309D"/>
    <w:rsid w:val="00C539BD"/>
    <w:rsid w:val="00CA43CA"/>
    <w:rsid w:val="00CA5E1A"/>
    <w:rsid w:val="00D207B0"/>
    <w:rsid w:val="00D630C3"/>
    <w:rsid w:val="00DC4CA7"/>
    <w:rsid w:val="00E15465"/>
    <w:rsid w:val="00F2432B"/>
    <w:rsid w:val="00F7484E"/>
    <w:rsid w:val="050977E8"/>
    <w:rsid w:val="53FE39E8"/>
    <w:rsid w:val="74776BFE"/>
    <w:rsid w:val="7F9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19F6E"/>
  <w15:docId w15:val="{6685ACFC-4555-46AF-9E17-38CB9362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pPr>
      <w:widowControl/>
      <w:spacing w:before="100" w:beforeAutospacing="1" w:after="225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tting-item1">
    <w:name w:val="setting-item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qFormat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-1">
    <w:name w:val="彩色列表 - 强调文字颜色 1字符"/>
    <w:link w:val="-11"/>
    <w:uiPriority w:val="34"/>
    <w:qFormat/>
    <w:rPr>
      <w:rFonts w:ascii="Calibri" w:eastAsia="宋体" w:hAnsi="Calibri"/>
    </w:rPr>
  </w:style>
  <w:style w:type="paragraph" w:customStyle="1" w:styleId="-11">
    <w:name w:val="彩色列表 - 强调文字颜色 11"/>
    <w:basedOn w:val="a"/>
    <w:link w:val="-1"/>
    <w:uiPriority w:val="34"/>
    <w:qFormat/>
    <w:pPr>
      <w:ind w:firstLineChars="200" w:firstLine="420"/>
    </w:pPr>
    <w:rPr>
      <w:rFonts w:ascii="Calibri" w:eastAsia="宋体" w:hAnsi="Calibri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E8DDE-208D-47CE-A87B-BBBB14CF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Windows 用户</cp:lastModifiedBy>
  <cp:revision>2</cp:revision>
  <dcterms:created xsi:type="dcterms:W3CDTF">2018-04-16T06:17:00Z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